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3E" w:rsidRDefault="00DF37FB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ZĽAVY V SEZÓNE 2019/2020</w:t>
      </w:r>
    </w:p>
    <w:p w:rsidR="00BB2730" w:rsidRDefault="00BB2730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D9213E" w:rsidRDefault="00DF37FB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  <w:t>1. Zľavy pre dôchodcov, študentov, držiteľov preukazov ISIC, ITIC, Euro&lt;26 a žiakov</w:t>
      </w:r>
    </w:p>
    <w:p w:rsidR="00D9213E" w:rsidRDefault="00DF37FB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ČINOHRA SND → 40 % z ceny vstupenky na vybrané predstavenia a vybrané kategórie:</w:t>
      </w:r>
    </w:p>
    <w:p w:rsidR="00D9213E" w:rsidRDefault="00DF37FB">
      <w:pPr>
        <w:shd w:val="clear" w:color="auto" w:fill="FFFFFF"/>
        <w:spacing w:before="360" w:after="360" w:line="240" w:lineRule="auto"/>
        <w:rPr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>nová budova SND</w:t>
      </w:r>
    </w:p>
    <w:tbl>
      <w:tblPr>
        <w:tblW w:w="7812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5402"/>
        <w:gridCol w:w="2410"/>
      </w:tblGrid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Antigona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3. a 4. kategória</w:t>
            </w: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Elity – kriminálny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príbeh s politickým pozadím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Hedda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Gablerová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Rivers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Of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Babylon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Rodáci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Projekt 1918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Štvorec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Veselé paničky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windsorské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Vojna a mier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D9213E" w:rsidRDefault="00DF37FB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>Štúdio, nová budova SND</w:t>
      </w:r>
    </w:p>
    <w:tbl>
      <w:tblPr>
        <w:tblW w:w="7812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5402"/>
        <w:gridCol w:w="2410"/>
      </w:tblGrid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Bačova žena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Krotká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Láskavé bohyne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Mercedes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Benz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Nad našu silu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9213E">
        <w:trPr>
          <w:trHeight w:val="288"/>
        </w:trPr>
        <w:tc>
          <w:tcPr>
            <w:tcW w:w="5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2F2F2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Polnočná omša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D9213E" w:rsidRDefault="00D921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Zľava sa </w:t>
      </w: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nevzťahuje 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na premiéry, silvestrovské predstavenia (31. 12.), na predstavenia hosťujúcich divadiel ako ani na vybrané mimoriadne udalosti (určuje riaditeľ Centra marketingu SND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br/>
        <w:t>po konzultácii s riaditeľom súboru).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 xml:space="preserve">OPERA SND → 50 % </w:t>
      </w: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>z ceny vstupenky na miesta z 3. a 4. kategórie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Zľava sa </w:t>
      </w: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nevzťahuje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 xml:space="preserve"> na predstavenia </w:t>
      </w:r>
      <w:proofErr w:type="spellStart"/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Carmen</w:t>
      </w:r>
      <w:proofErr w:type="spellEnd"/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 xml:space="preserve">, </w:t>
      </w:r>
      <w:proofErr w:type="spellStart"/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Nabucco</w:t>
      </w:r>
      <w:proofErr w:type="spellEnd"/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, detské predstavenia, dopoludňajšie predstavenia, Kontinuity, silvestrovské predstavenia (31.12.), Matiné, premiéry, predstavenia hosťujúcich divadiel ako an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i na vybrané mimoriadne udalosti (určuje riaditeľ Centra marketingu SND po konzultácii s riaditeľom súboru).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>BALET SND → 50 % z ceny vstupenky na miesta z 3. a 4. kategórie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lang w:eastAsia="sk-SK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Zľava sa </w:t>
      </w: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nevzťahuje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 xml:space="preserve"> na predstavenie Luskáčik, </w:t>
      </w:r>
      <w:proofErr w:type="spellStart"/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Fragile</w:t>
      </w:r>
      <w:proofErr w:type="spellEnd"/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 xml:space="preserve"> a Balet SND, silvestrovské pr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edstavenia (31. 12.), na predpremiéry, generálky, premiéry, silvestrovské predstavenia (31. 12.), detské predstavenia, predstavenia hosťujúcich divadiel ako ani na vybrané mimoriadne udalosti (určuje riaditeľ Centra marketingu SND po konzultácii s riaditeľ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om súboru).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lastRenderedPageBreak/>
        <w:t>Zľavy na predstavenia Opery SND, Baletu SND a Činohry SND nie je možné kumulovať, kombinovať a spájať navzájom s inými zľavami, ani ich uplatniť na predstavenia so zvýhodneným vstupným (verejné generálky, predpremiéry, dopoludňajšie predstaveni</w:t>
      </w: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a a iné predstavenia uvedené v pokladniciach SND).</w:t>
      </w:r>
    </w:p>
    <w:p w:rsidR="00D9213E" w:rsidRDefault="00D9213E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  <w:t>2. Zľavy pre ZŤP/ZŤPS a imobilných návštevníkov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ZŤP a ZŤPS: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50 % na celé hľadisko a všetky predstavenia okrem premiér, predstavení hosťujúcich divadiel, vybraných mimoriadnych udalostí a dopoludňajších pr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edstavení (podľa bodu 5 tohto článku, ktoré už majú upravený cenník).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Imobilní návštevníci: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majú zvýhodnený vstup za 3 € na všetky predstavenia na miesta vyhradené Smernicou č. 3/2018. Slovenské národné divadlo odporúča imobilnému návštevníkovi zabezpečiť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br/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si na predstavenie sprievod. Jeden člen sprievodu imobilného návštevníka má nárok na zľavu 50 % spolu so zakúpením vstupenky imobilným návštevníkom.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 xml:space="preserve">SND z organizačných, bezpečnostných a technických dôvodov môže evidovať ako imobilných návštevníkov iba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 xml:space="preserve">tých návštevníkov, ktorí si zakúpia vstupenku na mieste určenom pre imobilných v zmysle Smernice č. 3/2018 a dané zakúpené miesto aj reálne využijú v rámci konkrétneho predstavenia. V prípade, ak imobilný návštevník nevyužije miesta vyhradené Smernicou č.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3/2018, berie takýto návštevník na vedomie, že nie je zo strany SND možné zabezpečiť v prípade mimoriadnej bezpečnostnej udalosti alebo mimoriadnej situácie opatrenia s čo najvyššou efektívnosťou týkajúcou sa bezpečnosti takéhoto návštevníka v zmysle prísl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ušných právnych predpisov (najmä v zmysle zákona č. 314/2001 Z. z. o ochrane pred požiarmi v znení neskorších predpisov, Vyhlášky Ministerstva Vnútra SR č. 121/2002 Z. z. o požiarnej prevencii) a takémuto návštevníkovi nie je možné z technických a organiza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čných dôvodov sprístupniť vstupy v zmysle Smernice č. 3/2018, ktoré slúžia pre imobilného návštevníka.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  <w:t xml:space="preserve">3. Zľava pre žiakov a študentov umeleckých škôl (základné školy, stredné školy, konzervatóriá, vysoké školy) a pre študentov umelecko-vedných odborov na </w:t>
      </w: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  <w:t>nevypredané predstavenia</w:t>
      </w:r>
    </w:p>
    <w:p w:rsidR="00D9213E" w:rsidRDefault="00DF37FB">
      <w:pPr>
        <w:shd w:val="clear" w:color="auto" w:fill="FFFFFF"/>
        <w:spacing w:after="0" w:line="240" w:lineRule="auto"/>
        <w:jc w:val="both"/>
        <w:rPr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Balet, Činohra, Opera SND →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 zľava vo forme vstupného vo výške 3 € v čase 1 hodinu pred začiatkom predstavenia na všetky nevypredané predstavenia SND (neplatí na premiéry, predstavenia hosťujúcich divadiel a na mimoriadne predstave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nia).</w:t>
      </w:r>
    </w:p>
    <w:p w:rsidR="00D9213E" w:rsidRDefault="00DF37F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Okrem žiakov a študentov konzervatórií, poslucháčov VŠMU a Akadémie umení sa táto mimoriadna cena vzťahuje aj na študentov odborov: kulturológia, estetika, dejiny umenia, slovenský jazyk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br/>
        <w:t>a literatúra, muzikológia, učiteľstvo hudobného umenia (hudobná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 xml:space="preserve"> výchova).</w:t>
      </w:r>
    </w:p>
    <w:p w:rsidR="00D9213E" w:rsidRDefault="00DF37F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b/>
          <w:color w:val="000000"/>
          <w:spacing w:val="8"/>
          <w:sz w:val="20"/>
          <w:szCs w:val="20"/>
          <w:lang w:eastAsia="sk-SK"/>
        </w:rPr>
        <w:t>Túto zľavu nie je možné uplatniť na vopred rezervované vstupenky.</w:t>
      </w:r>
    </w:p>
    <w:p w:rsidR="00D9213E" w:rsidRDefault="00DF37F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Miesta v sále určuje službukonajúca pracovníčka v pokladnici na základe jej uváženia a časového limitu do predstavenia.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  <w:t xml:space="preserve">4. Zľava v rámci školských akcií pre žiakov a študentov na </w:t>
      </w: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  <w:t>vybrané večerné predstavenia a kategórie (hromadný odber: minimálne 15 ks):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Činohra, Opera, Balet SND → 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Pri objednávke v rámci školskej akcie na každých 15 žiakov učiteľovi alebo inému sprievodu prináleží jedna (1) voľná vstupenka. Zľava na predstavenia vš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etkých súborov pre hromadný predaj sa riadi podľa bodu 1 tejto Prílohy Zľavy v sezóne 2019/2020.</w:t>
      </w:r>
    </w:p>
    <w:p w:rsidR="00BB2730" w:rsidRDefault="00BB2730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</w:pP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  <w:lastRenderedPageBreak/>
        <w:t>5. Pevne stanovené ceny na dopoludňajšie a popoludňajšie repertoárové predstavenia (do 16.00 hod. vrátane):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sz w:val="21"/>
          <w:szCs w:val="21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>Činohra SND</w:t>
      </w:r>
    </w:p>
    <w:tbl>
      <w:tblPr>
        <w:tblW w:w="7230" w:type="dxa"/>
        <w:tblInd w:w="7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3254"/>
        <w:gridCol w:w="2081"/>
        <w:gridCol w:w="1895"/>
      </w:tblGrid>
      <w:tr w:rsidR="00D9213E">
        <w:trPr>
          <w:trHeight w:hRule="exact" w:val="28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ind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Sála činohry (NB)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ind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1. kategória:</w:t>
            </w:r>
          </w:p>
        </w:tc>
        <w:tc>
          <w:tcPr>
            <w:tcW w:w="1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213E" w:rsidRDefault="00DF37FB">
            <w:pPr>
              <w:spacing w:after="0" w:line="240" w:lineRule="auto"/>
              <w:ind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10 €</w:t>
            </w:r>
          </w:p>
        </w:tc>
      </w:tr>
      <w:tr w:rsidR="00D9213E">
        <w:trPr>
          <w:trHeight w:hRule="exact" w:val="284"/>
        </w:trPr>
        <w:tc>
          <w:tcPr>
            <w:tcW w:w="325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BEBEB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ind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2. kategória:</w:t>
            </w:r>
          </w:p>
        </w:tc>
        <w:tc>
          <w:tcPr>
            <w:tcW w:w="1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BEBEB"/>
            <w:vAlign w:val="center"/>
          </w:tcPr>
          <w:p w:rsidR="00D9213E" w:rsidRDefault="00DF37FB">
            <w:pPr>
              <w:spacing w:after="0" w:line="240" w:lineRule="auto"/>
              <w:ind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7 €</w:t>
            </w:r>
          </w:p>
        </w:tc>
      </w:tr>
      <w:tr w:rsidR="00D9213E">
        <w:trPr>
          <w:trHeight w:hRule="exact" w:val="284"/>
        </w:trPr>
        <w:tc>
          <w:tcPr>
            <w:tcW w:w="3254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ind w:firstLine="210"/>
              <w:rPr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historická budova (HB)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ind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3. kategória:</w:t>
            </w:r>
          </w:p>
        </w:tc>
        <w:tc>
          <w:tcPr>
            <w:tcW w:w="1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9213E" w:rsidRDefault="00DF37FB">
            <w:pPr>
              <w:spacing w:after="0" w:line="240" w:lineRule="auto"/>
              <w:ind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5 €</w:t>
            </w:r>
          </w:p>
        </w:tc>
      </w:tr>
      <w:tr w:rsidR="00D9213E">
        <w:trPr>
          <w:trHeight w:hRule="exact" w:val="284"/>
        </w:trPr>
        <w:tc>
          <w:tcPr>
            <w:tcW w:w="325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ind w:firstLine="220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BEBEB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ind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4. kategória:</w:t>
            </w:r>
          </w:p>
        </w:tc>
        <w:tc>
          <w:tcPr>
            <w:tcW w:w="1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EBEBEB"/>
            <w:vAlign w:val="center"/>
          </w:tcPr>
          <w:p w:rsidR="00D9213E" w:rsidRDefault="00DF37FB">
            <w:pPr>
              <w:spacing w:after="0" w:line="240" w:lineRule="auto"/>
              <w:ind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4 €</w:t>
            </w:r>
          </w:p>
        </w:tc>
      </w:tr>
      <w:tr w:rsidR="00D9213E">
        <w:trPr>
          <w:trHeight w:hRule="exact" w:val="284"/>
        </w:trPr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FFFFFF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ind w:firstLine="210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Štúdio (NB)</w:t>
            </w:r>
          </w:p>
        </w:tc>
        <w:tc>
          <w:tcPr>
            <w:tcW w:w="3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FFFFFF"/>
            <w:tcMar>
              <w:left w:w="65" w:type="dxa"/>
            </w:tcMar>
            <w:vAlign w:val="center"/>
          </w:tcPr>
          <w:p w:rsidR="00D9213E" w:rsidRDefault="00DF37FB">
            <w:pPr>
              <w:spacing w:after="0" w:line="240" w:lineRule="auto"/>
              <w:ind w:firstLine="210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sk-SK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1"/>
                <w:szCs w:val="21"/>
                <w:lang w:eastAsia="sk-SK"/>
              </w:rPr>
              <w:t>8 €</w:t>
            </w:r>
          </w:p>
        </w:tc>
      </w:tr>
    </w:tbl>
    <w:p w:rsidR="00D9213E" w:rsidRDefault="00DF37FB">
      <w:pPr>
        <w:shd w:val="clear" w:color="auto" w:fill="FFFFFF"/>
        <w:spacing w:before="360" w:after="360" w:line="240" w:lineRule="auto"/>
        <w:rPr>
          <w:rFonts w:eastAsia="Times New Roman" w:cstheme="minorHAnsi"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>Opera SND: v pracovných dňoch</w:t>
      </w:r>
    </w:p>
    <w:tbl>
      <w:tblPr>
        <w:tblW w:w="7528" w:type="dxa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3558"/>
        <w:gridCol w:w="992"/>
        <w:gridCol w:w="993"/>
        <w:gridCol w:w="992"/>
        <w:gridCol w:w="993"/>
      </w:tblGrid>
      <w:tr w:rsidR="00D9213E">
        <w:trPr>
          <w:trHeight w:val="300"/>
        </w:trPr>
        <w:tc>
          <w:tcPr>
            <w:tcW w:w="3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historická budova SND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D9213E">
        <w:trPr>
          <w:trHeight w:val="288"/>
        </w:trPr>
        <w:tc>
          <w:tcPr>
            <w:tcW w:w="35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Carmen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13 €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11 €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6 €</w:t>
            </w:r>
          </w:p>
        </w:tc>
      </w:tr>
      <w:tr w:rsidR="00D9213E">
        <w:trPr>
          <w:trHeight w:val="288"/>
        </w:trPr>
        <w:tc>
          <w:tcPr>
            <w:tcW w:w="35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Poľská krv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13 €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11 €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6 €</w:t>
            </w:r>
          </w:p>
        </w:tc>
      </w:tr>
      <w:tr w:rsidR="00D9213E">
        <w:trPr>
          <w:trHeight w:val="300"/>
        </w:trPr>
        <w:tc>
          <w:tcPr>
            <w:tcW w:w="3558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Plášť/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Gianni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Schicchi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9 €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99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6 €</w:t>
            </w:r>
          </w:p>
        </w:tc>
      </w:tr>
      <w:tr w:rsidR="00D9213E">
        <w:trPr>
          <w:trHeight w:val="300"/>
        </w:trPr>
        <w:tc>
          <w:tcPr>
            <w:tcW w:w="3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dopoludňajšie predstavenia – cez víkend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D9213E">
        <w:trPr>
          <w:trHeight w:val="300"/>
        </w:trPr>
        <w:tc>
          <w:tcPr>
            <w:tcW w:w="355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Nabucco</w:t>
            </w:r>
            <w:proofErr w:type="spellEnd"/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19 €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8 €</w:t>
            </w:r>
          </w:p>
        </w:tc>
      </w:tr>
      <w:tr w:rsidR="00D9213E">
        <w:trPr>
          <w:trHeight w:hRule="exact" w:val="23"/>
        </w:trPr>
        <w:tc>
          <w:tcPr>
            <w:tcW w:w="3558" w:type="dxa"/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D9213E">
        <w:trPr>
          <w:trHeight w:val="300"/>
        </w:trPr>
        <w:tc>
          <w:tcPr>
            <w:tcW w:w="3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nová budova SND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D9213E">
        <w:trPr>
          <w:trHeight w:val="288"/>
        </w:trPr>
        <w:tc>
          <w:tcPr>
            <w:tcW w:w="35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Aida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13 €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11 €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6 €</w:t>
            </w:r>
          </w:p>
        </w:tc>
      </w:tr>
      <w:tr w:rsidR="00D9213E">
        <w:trPr>
          <w:trHeight w:val="288"/>
        </w:trPr>
        <w:tc>
          <w:tcPr>
            <w:tcW w:w="35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Don Carlo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13 €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11 €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6 €</w:t>
            </w:r>
          </w:p>
        </w:tc>
      </w:tr>
      <w:tr w:rsidR="00D9213E">
        <w:trPr>
          <w:trHeight w:val="288"/>
        </w:trPr>
        <w:tc>
          <w:tcPr>
            <w:tcW w:w="3558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Hoffmannove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 poviedky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9 €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6 €</w:t>
            </w:r>
          </w:p>
        </w:tc>
      </w:tr>
      <w:tr w:rsidR="00D9213E">
        <w:trPr>
          <w:trHeight w:val="300"/>
        </w:trPr>
        <w:tc>
          <w:tcPr>
            <w:tcW w:w="3558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Rusalka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13 €</w:t>
            </w:r>
          </w:p>
        </w:tc>
        <w:tc>
          <w:tcPr>
            <w:tcW w:w="993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11 €</w:t>
            </w:r>
          </w:p>
        </w:tc>
        <w:tc>
          <w:tcPr>
            <w:tcW w:w="992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8 €</w:t>
            </w:r>
          </w:p>
        </w:tc>
        <w:tc>
          <w:tcPr>
            <w:tcW w:w="993" w:type="dxa"/>
            <w:tcBorders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6 €</w:t>
            </w:r>
          </w:p>
        </w:tc>
      </w:tr>
      <w:tr w:rsidR="00D9213E">
        <w:trPr>
          <w:trHeight w:val="300"/>
        </w:trPr>
        <w:tc>
          <w:tcPr>
            <w:tcW w:w="35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dopoludňajšie predstavenia – cez víkend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D9213E">
        <w:trPr>
          <w:trHeight w:val="300"/>
        </w:trPr>
        <w:tc>
          <w:tcPr>
            <w:tcW w:w="3558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Rusalka</w:t>
            </w:r>
          </w:p>
        </w:tc>
        <w:tc>
          <w:tcPr>
            <w:tcW w:w="992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19 €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15 €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8 €</w:t>
            </w:r>
          </w:p>
        </w:tc>
      </w:tr>
    </w:tbl>
    <w:p w:rsidR="00D9213E" w:rsidRDefault="00DF37FB">
      <w:pPr>
        <w:shd w:val="clear" w:color="auto" w:fill="FFFFFF"/>
        <w:spacing w:before="360" w:after="360" w:line="240" w:lineRule="auto"/>
        <w:rPr>
          <w:rFonts w:eastAsia="Times New Roman" w:cstheme="minorHAnsi"/>
          <w:sz w:val="21"/>
          <w:szCs w:val="21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>Opera SND: detské predstavenia</w:t>
      </w: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 xml:space="preserve"> cez víkend</w:t>
      </w:r>
    </w:p>
    <w:tbl>
      <w:tblPr>
        <w:tblW w:w="7528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/>
      </w:tblPr>
      <w:tblGrid>
        <w:gridCol w:w="3399"/>
        <w:gridCol w:w="1151"/>
        <w:gridCol w:w="993"/>
        <w:gridCol w:w="992"/>
        <w:gridCol w:w="993"/>
      </w:tblGrid>
      <w:tr w:rsidR="00D9213E">
        <w:trPr>
          <w:trHeight w:val="288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historická budova SND</w:t>
            </w:r>
          </w:p>
        </w:tc>
        <w:tc>
          <w:tcPr>
            <w:tcW w:w="11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D9213E">
        <w:trPr>
          <w:trHeight w:val="288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Veľká doktorská rozprávka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13 €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11 €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8 €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6 € </w:t>
            </w:r>
          </w:p>
        </w:tc>
      </w:tr>
      <w:tr w:rsidR="00D9213E">
        <w:trPr>
          <w:trHeight w:val="288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Rozprávka o šťastnom konci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13 €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11 €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8 €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6 € </w:t>
            </w:r>
          </w:p>
        </w:tc>
      </w:tr>
      <w:tr w:rsidR="00D9213E">
        <w:trPr>
          <w:trHeight w:val="288"/>
        </w:trPr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nová budova SND</w:t>
            </w:r>
          </w:p>
        </w:tc>
        <w:tc>
          <w:tcPr>
            <w:tcW w:w="11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D9213E">
        <w:trPr>
          <w:trHeight w:val="288"/>
        </w:trPr>
        <w:tc>
          <w:tcPr>
            <w:tcW w:w="33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 čarovnej flaute a iných kúzlach</w:t>
            </w:r>
          </w:p>
        </w:tc>
        <w:tc>
          <w:tcPr>
            <w:tcW w:w="11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8 €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7 €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6 €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9213E" w:rsidRDefault="00DF37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     4 € </w:t>
            </w:r>
          </w:p>
        </w:tc>
      </w:tr>
    </w:tbl>
    <w:p w:rsidR="00D9213E" w:rsidRDefault="00DF37FB">
      <w:pPr>
        <w:shd w:val="clear" w:color="auto" w:fill="FFFFFF"/>
        <w:spacing w:before="360" w:after="360" w:line="240" w:lineRule="auto"/>
        <w:rPr>
          <w:rFonts w:eastAsia="Times New Roman" w:cstheme="minorHAnsi"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>Opera SND: detské predstavenia v pracovných dňoch</w:t>
      </w:r>
    </w:p>
    <w:tbl>
      <w:tblPr>
        <w:tblW w:w="7528" w:type="dxa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3416"/>
        <w:gridCol w:w="1134"/>
        <w:gridCol w:w="993"/>
        <w:gridCol w:w="992"/>
        <w:gridCol w:w="993"/>
      </w:tblGrid>
      <w:tr w:rsidR="00D9213E">
        <w:trPr>
          <w:trHeight w:val="300"/>
        </w:trPr>
        <w:tc>
          <w:tcPr>
            <w:tcW w:w="3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historická budova SND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D9213E">
        <w:trPr>
          <w:trHeight w:val="288"/>
        </w:trPr>
        <w:tc>
          <w:tcPr>
            <w:tcW w:w="3416" w:type="dxa"/>
            <w:tcBorders>
              <w:left w:val="single" w:sz="8" w:space="0" w:color="00000A"/>
              <w:bottom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 xml:space="preserve">Veľká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doktorská rozprávka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4 €</w:t>
            </w:r>
          </w:p>
        </w:tc>
      </w:tr>
      <w:tr w:rsidR="00D9213E">
        <w:trPr>
          <w:trHeight w:val="300"/>
        </w:trPr>
        <w:tc>
          <w:tcPr>
            <w:tcW w:w="3416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Rozprávka o šťastnom konci</w:t>
            </w:r>
          </w:p>
        </w:tc>
        <w:tc>
          <w:tcPr>
            <w:tcW w:w="1134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4 €</w:t>
            </w:r>
          </w:p>
        </w:tc>
      </w:tr>
      <w:tr w:rsidR="00D9213E">
        <w:trPr>
          <w:trHeight w:val="300"/>
        </w:trPr>
        <w:tc>
          <w:tcPr>
            <w:tcW w:w="34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sk-SK"/>
              </w:rPr>
              <w:t>nová budova SND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D9213E">
        <w:trPr>
          <w:trHeight w:val="300"/>
        </w:trPr>
        <w:tc>
          <w:tcPr>
            <w:tcW w:w="3416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O čarovnej flaute a iných kúzlach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3 €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3 €</w:t>
            </w:r>
          </w:p>
        </w:tc>
      </w:tr>
    </w:tbl>
    <w:p w:rsidR="00BB2730" w:rsidRDefault="00BB2730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</w:p>
    <w:p w:rsidR="00D9213E" w:rsidRDefault="00DF37FB">
      <w:pPr>
        <w:shd w:val="clear" w:color="auto" w:fill="FFFFFF"/>
        <w:spacing w:before="360" w:after="360" w:line="240" w:lineRule="auto"/>
        <w:rPr>
          <w:rFonts w:eastAsia="Times New Roman" w:cstheme="minorHAnsi"/>
          <w:bCs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lastRenderedPageBreak/>
        <w:t xml:space="preserve">Balet SND: detské predstavenia v pracovných dňoch </w:t>
      </w:r>
      <w:r>
        <w:rPr>
          <w:rFonts w:eastAsia="Times New Roman" w:cstheme="minorHAnsi"/>
          <w:bCs/>
          <w:color w:val="000000"/>
          <w:spacing w:val="8"/>
          <w:sz w:val="24"/>
          <w:szCs w:val="24"/>
          <w:lang w:eastAsia="sk-SK"/>
        </w:rPr>
        <w:t>(neplatí na pracovné dni počas vianočných sviatkov a školských prázdnin)</w:t>
      </w:r>
    </w:p>
    <w:tbl>
      <w:tblPr>
        <w:tblW w:w="7528" w:type="dxa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3416"/>
        <w:gridCol w:w="1134"/>
        <w:gridCol w:w="993"/>
        <w:gridCol w:w="992"/>
        <w:gridCol w:w="993"/>
      </w:tblGrid>
      <w:tr w:rsidR="00D9213E">
        <w:trPr>
          <w:trHeight w:val="300"/>
        </w:trPr>
        <w:tc>
          <w:tcPr>
            <w:tcW w:w="3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historická budova SND</w:t>
            </w:r>
          </w:p>
        </w:tc>
        <w:tc>
          <w:tcPr>
            <w:tcW w:w="113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sk-SK"/>
              </w:rPr>
              <w:t>4. kategória</w:t>
            </w:r>
          </w:p>
        </w:tc>
      </w:tr>
      <w:tr w:rsidR="00D9213E">
        <w:trPr>
          <w:trHeight w:val="288"/>
        </w:trPr>
        <w:tc>
          <w:tcPr>
            <w:tcW w:w="341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Z rozprávky do rozprávky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sz w:val="20"/>
                <w:szCs w:val="20"/>
                <w:lang w:eastAsia="sk-SK"/>
              </w:rPr>
              <w:t>4 €</w:t>
            </w:r>
          </w:p>
        </w:tc>
      </w:tr>
      <w:tr w:rsidR="00D9213E">
        <w:trPr>
          <w:trHeight w:val="300"/>
        </w:trPr>
        <w:tc>
          <w:tcPr>
            <w:tcW w:w="341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Luskáčik </w:t>
            </w:r>
          </w:p>
        </w:tc>
        <w:tc>
          <w:tcPr>
            <w:tcW w:w="113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10 €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4 €</w:t>
            </w:r>
          </w:p>
        </w:tc>
      </w:tr>
    </w:tbl>
    <w:p w:rsidR="00D9213E" w:rsidRDefault="00DF37FB">
      <w:pPr>
        <w:shd w:val="clear" w:color="auto" w:fill="FFFFFF"/>
        <w:spacing w:before="360" w:after="360" w:line="240" w:lineRule="auto"/>
        <w:rPr>
          <w:rFonts w:eastAsia="Times New Roman" w:cstheme="minorHAnsi"/>
          <w:bCs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  <w:t xml:space="preserve">Balet SND: v pracovných dňoch </w:t>
      </w:r>
      <w:r>
        <w:rPr>
          <w:rFonts w:eastAsia="Times New Roman" w:cstheme="minorHAnsi"/>
          <w:bCs/>
          <w:color w:val="000000"/>
          <w:spacing w:val="8"/>
          <w:sz w:val="24"/>
          <w:szCs w:val="24"/>
          <w:lang w:eastAsia="sk-SK"/>
        </w:rPr>
        <w:t>(neplatí na pracovné dni počas vianočných sviatkov a školských prázdnin)</w:t>
      </w:r>
    </w:p>
    <w:tbl>
      <w:tblPr>
        <w:tblW w:w="7528" w:type="dxa"/>
        <w:tblInd w:w="55" w:type="dxa"/>
        <w:tblBorders>
          <w:top w:val="single" w:sz="8" w:space="0" w:color="00000A"/>
          <w:left w:val="single" w:sz="8" w:space="0" w:color="00000A"/>
          <w:right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3416"/>
        <w:gridCol w:w="1134"/>
        <w:gridCol w:w="993"/>
        <w:gridCol w:w="992"/>
        <w:gridCol w:w="993"/>
      </w:tblGrid>
      <w:tr w:rsidR="00D9213E">
        <w:trPr>
          <w:trHeight w:val="300"/>
        </w:trPr>
        <w:tc>
          <w:tcPr>
            <w:tcW w:w="3416" w:type="dxa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sk-SK"/>
              </w:rPr>
              <w:t>historická budova SND</w:t>
            </w:r>
          </w:p>
        </w:tc>
        <w:tc>
          <w:tcPr>
            <w:tcW w:w="1134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1. kategória</w:t>
            </w:r>
          </w:p>
        </w:tc>
        <w:tc>
          <w:tcPr>
            <w:tcW w:w="993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top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4. kategória</w:t>
            </w:r>
          </w:p>
        </w:tc>
      </w:tr>
      <w:tr w:rsidR="00D9213E">
        <w:trPr>
          <w:trHeight w:val="288"/>
        </w:trPr>
        <w:tc>
          <w:tcPr>
            <w:tcW w:w="3416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k-SK"/>
              </w:rPr>
              <w:t>Beatles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sk-SK"/>
              </w:rPr>
              <w:t>Go</w:t>
            </w:r>
            <w:proofErr w:type="spellEnd"/>
            <w:r>
              <w:rPr>
                <w:rFonts w:eastAsia="Times New Roman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sk-SK"/>
              </w:rPr>
              <w:t>Baroque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4 €</w:t>
            </w:r>
          </w:p>
        </w:tc>
      </w:tr>
      <w:tr w:rsidR="00D9213E">
        <w:trPr>
          <w:trHeight w:val="288"/>
        </w:trPr>
        <w:tc>
          <w:tcPr>
            <w:tcW w:w="3416" w:type="dxa"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k-SK"/>
              </w:rPr>
              <w:t>Ravel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4 €</w:t>
            </w:r>
          </w:p>
        </w:tc>
      </w:tr>
      <w:tr w:rsidR="00D9213E">
        <w:trPr>
          <w:trHeight w:val="300"/>
        </w:trPr>
        <w:tc>
          <w:tcPr>
            <w:tcW w:w="3416" w:type="dxa"/>
            <w:tcBorders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k-SK"/>
              </w:rPr>
              <w:t>Giselle</w:t>
            </w:r>
            <w:proofErr w:type="spellEnd"/>
          </w:p>
        </w:tc>
        <w:tc>
          <w:tcPr>
            <w:tcW w:w="1134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4 €</w:t>
            </w:r>
          </w:p>
        </w:tc>
      </w:tr>
      <w:tr w:rsidR="00D9213E" w:rsidTr="00BB2730">
        <w:trPr>
          <w:trHeight w:hRule="exact" w:val="23"/>
        </w:trPr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9213E" w:rsidTr="00BB2730">
        <w:trPr>
          <w:trHeight w:val="3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lang w:eastAsia="sk-SK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nová budova SND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1.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 xml:space="preserve"> kategória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2. kategória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eastAsia="sk-SK"/>
              </w:rPr>
              <w:t>3. kategória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9213E" w:rsidTr="00BB2730">
        <w:trPr>
          <w:trHeight w:val="28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Za hranicami hriechu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9213E" w:rsidTr="00BB2730">
        <w:trPr>
          <w:trHeight w:val="28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eastAsia="sk-SK"/>
              </w:rPr>
              <w:t>Esmeralda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9213E" w:rsidTr="00BB2730">
        <w:trPr>
          <w:trHeight w:val="28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Korzár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9213E" w:rsidTr="00BB2730">
        <w:trPr>
          <w:trHeight w:val="28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Labutie jazero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9213E" w:rsidTr="00BB2730">
        <w:trPr>
          <w:trHeight w:val="28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 xml:space="preserve">Tulák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sk-SK"/>
              </w:rPr>
              <w:t>Chaplin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9213E" w:rsidTr="00BB2730">
        <w:trPr>
          <w:trHeight w:val="288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Popoluška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  <w:tr w:rsidR="00D9213E" w:rsidTr="00BB2730">
        <w:trPr>
          <w:trHeight w:val="30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  <w:vAlign w:val="bottom"/>
          </w:tcPr>
          <w:p w:rsidR="00D9213E" w:rsidRDefault="00DF37F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 xml:space="preserve">Don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eastAsia="sk-SK"/>
              </w:rPr>
              <w:t>Quijote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7 €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6 €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13E" w:rsidRDefault="00DF37F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sz w:val="20"/>
                <w:szCs w:val="20"/>
                <w:lang w:eastAsia="sk-SK"/>
              </w:rPr>
              <w:t>5 €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D9213E" w:rsidRDefault="00D9213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 xml:space="preserve">Pevne stanovené ceny sa </w:t>
      </w: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nevzťahujú na predpremiéry, generálky, na premiéry a večerné predstavenia (po čase 16.00 hod.).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u w:val="single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Pevne stanovené ceny sa nevzťahujú na dopoludňajšie predstavenia v pracovných dňoch počas vianočných školských prázdnin.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4"/>
          <w:szCs w:val="24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  <w:t xml:space="preserve">6. </w:t>
      </w:r>
      <w:proofErr w:type="spellStart"/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  <w:t>Množstevná</w:t>
      </w:r>
      <w:proofErr w:type="spellEnd"/>
      <w:r>
        <w:rPr>
          <w:rFonts w:eastAsia="Times New Roman" w:cstheme="minorHAnsi"/>
          <w:b/>
          <w:bCs/>
          <w:color w:val="000000"/>
          <w:spacing w:val="8"/>
          <w:sz w:val="24"/>
          <w:szCs w:val="24"/>
          <w:u w:val="single"/>
          <w:lang w:eastAsia="sk-SK"/>
        </w:rPr>
        <w:t xml:space="preserve"> zľava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Činohra SND →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ab/>
        <w:t xml:space="preserve">nad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100 ks vstupeniek zľava 5 %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>Balet a Opera SND → </w:t>
      </w:r>
      <w:r>
        <w:rPr>
          <w:rFonts w:eastAsia="Times New Roman" w:cstheme="minorHAnsi"/>
          <w:b/>
          <w:bCs/>
          <w:color w:val="000000"/>
          <w:spacing w:val="8"/>
          <w:sz w:val="20"/>
          <w:szCs w:val="20"/>
          <w:lang w:eastAsia="sk-SK"/>
        </w:rPr>
        <w:tab/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nad 20 ks vstupeniek zľava 2 %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ab/>
        <w:t>nad 30 ks vstupeniek zľava 3 %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ab/>
        <w:t>nad 40 ks vstupeniek zľava 4 %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 xml:space="preserve">  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ab/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 xml:space="preserve">nad 50 ks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vstupeniek zľava 5 %</w:t>
      </w:r>
    </w:p>
    <w:p w:rsidR="00D9213E" w:rsidRDefault="00DF37FB">
      <w:pPr>
        <w:shd w:val="clear" w:color="auto" w:fill="FFFFFF"/>
        <w:spacing w:before="360" w:after="360" w:line="240" w:lineRule="auto"/>
        <w:jc w:val="both"/>
        <w:rPr>
          <w:lang w:eastAsia="sk-SK"/>
        </w:rPr>
      </w:pP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</w:t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 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 xml:space="preserve">  </w:t>
      </w:r>
      <w:r>
        <w:rPr>
          <w:rFonts w:eastAsia="Verdana" w:cstheme="minorHAnsi"/>
          <w:color w:val="000000"/>
          <w:spacing w:val="8"/>
          <w:sz w:val="20"/>
          <w:szCs w:val="20"/>
          <w:lang w:eastAsia="sk-SK"/>
        </w:rPr>
        <w:tab/>
      </w:r>
      <w:r>
        <w:rPr>
          <w:rFonts w:eastAsia="Times New Roman" w:cstheme="minorHAnsi"/>
          <w:color w:val="000000"/>
          <w:spacing w:val="8"/>
          <w:sz w:val="20"/>
          <w:szCs w:val="20"/>
          <w:lang w:eastAsia="sk-SK"/>
        </w:rPr>
        <w:t>nad 100 ks vstupeniek zľava 8 %</w:t>
      </w:r>
    </w:p>
    <w:sectPr w:rsidR="00D9213E" w:rsidSect="00BB2730">
      <w:headerReference w:type="default" r:id="rId7"/>
      <w:footerReference w:type="default" r:id="rId8"/>
      <w:pgSz w:w="11906" w:h="16838"/>
      <w:pgMar w:top="1418" w:right="1134" w:bottom="851" w:left="1134" w:header="709" w:footer="28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FB" w:rsidRDefault="00DF37FB" w:rsidP="00D9213E">
      <w:pPr>
        <w:spacing w:after="0" w:line="240" w:lineRule="auto"/>
      </w:pPr>
      <w:r>
        <w:separator/>
      </w:r>
    </w:p>
  </w:endnote>
  <w:endnote w:type="continuationSeparator" w:id="0">
    <w:p w:rsidR="00DF37FB" w:rsidRDefault="00DF37FB" w:rsidP="00D9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623259"/>
      <w:docPartObj>
        <w:docPartGallery w:val="Page Numbers (Bottom of Page)"/>
        <w:docPartUnique/>
      </w:docPartObj>
    </w:sdtPr>
    <w:sdtContent>
      <w:p w:rsidR="00D9213E" w:rsidRDefault="00D9213E">
        <w:pPr>
          <w:pStyle w:val="Footer"/>
          <w:jc w:val="center"/>
        </w:pPr>
        <w:r>
          <w:fldChar w:fldCharType="begin"/>
        </w:r>
        <w:r w:rsidR="00DF37FB">
          <w:instrText>PAGE</w:instrText>
        </w:r>
        <w:r>
          <w:fldChar w:fldCharType="separate"/>
        </w:r>
        <w:r w:rsidR="00BB2730">
          <w:rPr>
            <w:noProof/>
          </w:rPr>
          <w:t>1</w:t>
        </w:r>
        <w:r>
          <w:fldChar w:fldCharType="end"/>
        </w:r>
      </w:p>
    </w:sdtContent>
  </w:sdt>
  <w:p w:rsidR="00D9213E" w:rsidRDefault="00D92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FB" w:rsidRDefault="00DF37FB" w:rsidP="00D9213E">
      <w:pPr>
        <w:spacing w:after="0" w:line="240" w:lineRule="auto"/>
      </w:pPr>
      <w:r>
        <w:separator/>
      </w:r>
    </w:p>
  </w:footnote>
  <w:footnote w:type="continuationSeparator" w:id="0">
    <w:p w:rsidR="00DF37FB" w:rsidRDefault="00DF37FB" w:rsidP="00D9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3E" w:rsidRDefault="00DF37FB">
    <w:pPr>
      <w:pStyle w:val="Header"/>
      <w:jc w:val="right"/>
    </w:pPr>
    <w:r>
      <w:t>Príloha č. 3  VOP 2019/2020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3E"/>
    <w:rsid w:val="00BB2730"/>
    <w:rsid w:val="00D9213E"/>
    <w:rsid w:val="00D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F70A4"/>
    <w:rPr>
      <w:color w:val="0000FF"/>
      <w:u w:val="single"/>
    </w:rPr>
  </w:style>
  <w:style w:type="character" w:customStyle="1" w:styleId="HlavikaChar">
    <w:name w:val="Hlavička Char"/>
    <w:basedOn w:val="Predvolenpsmoodseku"/>
    <w:link w:val="Header"/>
    <w:uiPriority w:val="99"/>
    <w:qFormat/>
    <w:rsid w:val="00467ED0"/>
  </w:style>
  <w:style w:type="character" w:customStyle="1" w:styleId="PtaChar">
    <w:name w:val="Päta Char"/>
    <w:basedOn w:val="Predvolenpsmoodseku"/>
    <w:link w:val="Footer"/>
    <w:uiPriority w:val="99"/>
    <w:qFormat/>
    <w:rsid w:val="00467ED0"/>
  </w:style>
  <w:style w:type="character" w:customStyle="1" w:styleId="ListLabel1">
    <w:name w:val="ListLabel 1"/>
    <w:qFormat/>
    <w:rsid w:val="00D9213E"/>
    <w:rPr>
      <w:rFonts w:eastAsia="Times New Roman" w:cs="Verdana"/>
      <w:b w:val="0"/>
      <w:spacing w:val="8"/>
      <w:sz w:val="24"/>
      <w:szCs w:val="24"/>
      <w:lang w:eastAsia="sk-SK"/>
    </w:rPr>
  </w:style>
  <w:style w:type="character" w:customStyle="1" w:styleId="ListLabel2">
    <w:name w:val="ListLabel 2"/>
    <w:qFormat/>
    <w:rsid w:val="00D9213E"/>
    <w:rPr>
      <w:b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D921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D9213E"/>
    <w:pPr>
      <w:spacing w:after="140" w:line="288" w:lineRule="auto"/>
    </w:pPr>
  </w:style>
  <w:style w:type="paragraph" w:styleId="Zoznam">
    <w:name w:val="List"/>
    <w:basedOn w:val="Zkladntext"/>
    <w:rsid w:val="00D9213E"/>
    <w:rPr>
      <w:rFonts w:cs="Mangal"/>
    </w:rPr>
  </w:style>
  <w:style w:type="paragraph" w:customStyle="1" w:styleId="Caption">
    <w:name w:val="Caption"/>
    <w:basedOn w:val="Normlny"/>
    <w:qFormat/>
    <w:rsid w:val="00D921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D9213E"/>
    <w:pPr>
      <w:suppressLineNumbers/>
    </w:pPr>
    <w:rPr>
      <w:rFonts w:cs="Mangal"/>
    </w:rPr>
  </w:style>
  <w:style w:type="paragraph" w:customStyle="1" w:styleId="Header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609B6-4614-4852-8FB7-DC1D68CD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minarikova</cp:lastModifiedBy>
  <cp:revision>2</cp:revision>
  <dcterms:created xsi:type="dcterms:W3CDTF">2019-06-17T13:47:00Z</dcterms:created>
  <dcterms:modified xsi:type="dcterms:W3CDTF">2019-06-17T13:47:00Z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